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关于2020年9月19日全国大学英语四六级考试听力试音的通知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参加CET考试各考生：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为确保2020年9月19日全国大学英语四六级考试听力测试正常进行，学校决定安排听力试音。现将有关事项通知如下：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一、试音时间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2020年9月7-8日每天18:20－19:20。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2020年9月16-18日 每天18:20－19:20。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2020年9月19日上午8:30－8:55；下午14:30—14:55。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二、试音地点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北校区8号教学楼。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南校区3号教学楼、1号教学楼。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三、注意事项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 每名考生务必到本人考试教室进行听力试音，确保本人听力考试收听正常。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 北校区：8号楼调频播放，频率为76兆赫兹。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3. 南校区：3号、1号楼调频播放，频率为74兆赫兹。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4. 听力试音播放内容为“西北农林科技大学四、六级考试听力播放开始试音，请大家做好准备”。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5.耳机、电池由考生自备，无耳机、无电池或耳机故障等因考生个人原因而影响到本人听力测试，后果由考生本人负责。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联系人：肖小平    联系电话：87092245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2020-09-03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7E8B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hd w:val="clear" w:fill="FFFFFF"/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